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15 марта 2022 г. № 196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18.03.2022</w:t>
      </w:r>
    </w:p>
    <w:p>
      <w:pPr>
        <w:shd w:val="clear" w:fill="FFFFFF"/>
        <w:spacing w:lineRule="auto" w:line="240" w:beforeAutospacing="0" w:afterAutospacing="0"/>
        <w:jc w:val="center"/>
      </w:pPr>
      <w:r>
        <w:drawing>
          <wp:inline xmlns:wp="http://schemas.openxmlformats.org/drawingml/2006/wordprocessingDrawing">
            <wp:extent cx="571500" cy="57150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АДМИНИСТРАЦИЯ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ПОСТАНОВЛЕНИЕ</w:t>
      </w:r>
    </w:p>
    <w:p>
      <w:pPr>
        <w:shd w:val="clear" w:fill="FFFFFF"/>
        <w:spacing w:lineRule="auto" w:line="240" w:beforeAutospacing="0" w:afterAutospacing="0"/>
        <w:jc w:val="center"/>
      </w:pPr>
    </w:p>
    <w:p>
      <w:pPr>
        <w:shd w:val="clear" w:fill="FFFFFF"/>
        <w:spacing w:lineRule="auto" w:line="240" w:before="0" w:after="210" w:beforeAutospacing="0" w:afterAutospacing="0"/>
        <w:ind w:left="0" w:right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от 15 марта 2022 г. № 196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г. Воронеж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Об утверждении Методики расчета</w:t>
        <w:br w:type="textWrapping"/>
        <w:t>максимального размера дохода</w:t>
        <w:br w:type="textWrapping"/>
        <w:t>граждан и постоянно проживающих</w:t>
        <w:br w:type="textWrapping"/>
        <w:t>совместно с ними членов их семей и</w:t>
        <w:br w:type="textWrapping"/>
        <w:t>стоимости подлежащего</w:t>
        <w:br w:type="textWrapping"/>
        <w:t>налогообложению их имущества в</w:t>
        <w:br w:type="textWrapping"/>
        <w:t>целях признания граждан</w:t>
        <w:br w:type="textWrapping"/>
        <w:t>нуждающимися в предоставлении</w:t>
        <w:br w:type="textWrapping"/>
        <w:t>жилых помещений по договорам</w:t>
        <w:br w:type="textWrapping"/>
        <w:t>найма жилых помещений жилищного</w:t>
        <w:br w:type="textWrapping"/>
        <w:t>фонда социального использования</w:t>
        <w:br w:type="textWrapping"/>
        <w:t xml:space="preserve">на территории городского округа </w:t>
        <w:br w:type="textWrapping"/>
        <w:t>город Воронеж на I квартал 2022 года</w:t>
        <w:br w:type="textWrapping"/>
        <w:br w:type="textWrapping"/>
      </w:r>
      <w:r>
        <w:rPr>
          <w:rFonts w:ascii="Verdana" w:hAnsi="Verdana"/>
          <w:sz w:val="20"/>
          <w:shd w:val="clear" w:color="auto" w:fill="FFFFFF"/>
        </w:rPr>
        <w:t>В целях реализации Закона Воронежской области от 09.12.2015 № 192-ОЗ «О порядке установления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использования» администрация городского округа город Воронеж постановляет:</w:t>
        <w:br w:type="textWrapping"/>
        <w:br w:type="textWrapping"/>
        <w:t>1. Утвердить прилагаемую Методику расчета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 на территории городского округа город Воронеж на I квартал 2022 года.</w:t>
        <w:br w:type="textWrapping"/>
        <w:br w:type="textWrapping"/>
        <w:t>2. Признать утратившим силу постановление администрации городского округа город Воронеж от 27.12.2021 № 1234 «Об утверждении Методики расчета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 на территории городского округа город Воронеж на IV квартал 2021 года».</w:t>
        <w:br w:type="textWrapping"/>
        <w:br w:type="textWrapping"/>
        <w:t>3. Контроль за исполнением настоящего постановления возложить на первого заместителя главы администрации по городскому хозяйству Петрина С.А.</w:t>
      </w:r>
    </w:p>
    <w:p>
      <w:pPr>
        <w:shd w:val="clear" w:fill="FFFFFF"/>
        <w:spacing w:lineRule="auto" w:line="240" w:beforeAutospacing="0" w:afterAutospacing="0"/>
        <w:ind w:left="0"/>
      </w:pP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/>
    <w:sectPr>
      <w:headerReference xmlns:r="http://schemas.openxmlformats.org/officeDocument/2006/relationships" w:type="default" r:id="RelHdr1"/>
      <w:type w:val="nextPage"/>
      <w:pgSz w:w="11906" w:h="16838" w:code="0"/>
      <w:pgMar w:left="1701" w:right="850" w:top="1134" w:bottom="1134" w:header="708" w:footer="708" w:gutter="0"/>
    </w:sectPr>
  </w:body>
</w:document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/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Hdr1" Type="http://schemas.openxmlformats.org/officeDocument/2006/relationships/header" Target="head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2025-10-25T09:11:18Z</dcterms:modified>
  <cp:revision>7</cp:revision>
</cp:coreProperties>
</file>